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6B76" w14:textId="77777777" w:rsidR="00D91612" w:rsidRDefault="009A2DFF" w:rsidP="009A2DFF">
      <w:r>
        <w:fldChar w:fldCharType="begin"/>
      </w:r>
      <w:r>
        <w:instrText xml:space="preserve"> HYPERLINK "https://ca.fullscript.com/sso_login" \h </w:instrText>
      </w:r>
      <w:r>
        <w:fldChar w:fldCharType="separate"/>
      </w:r>
      <w:r>
        <w:rPr>
          <w:noProof/>
          <w:color w:val="1155CC"/>
          <w:u w:val="single"/>
        </w:rPr>
        <w:drawing>
          <wp:inline distT="114300" distB="114300" distL="114300" distR="114300" wp14:anchorId="4E8903B1" wp14:editId="795F7C62">
            <wp:extent cx="5943600" cy="198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155CC"/>
          <w:u w:val="single"/>
        </w:rPr>
        <w:fldChar w:fldCharType="end"/>
      </w:r>
    </w:p>
    <w:p w14:paraId="00DC5E1F" w14:textId="77777777" w:rsidR="00D91612" w:rsidRDefault="00D91612" w:rsidP="009A2DFF"/>
    <w:p w14:paraId="21136CFB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>The World Health Organization and the American Heart Association have reported cardiovascular disease as a leading cause of mortality, making it essential to address and ideally prevent the condition. Fortunately, several of the risk factors for cardiovasc</w:t>
      </w: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>ular disease are modifiable, such as elevated blood pressure, irregular cholesterol levels, and being overweight or obese. Lifestyle modifications, including a heart-healthy diet, regular physical activity, smoking cessation, and certain dietary supplement</w:t>
      </w: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>s, can be implemented to support cardiovascular health.</w:t>
      </w:r>
    </w:p>
    <w:p w14:paraId="0148A8FD" w14:textId="77777777" w:rsidR="00D91612" w:rsidRDefault="00D91612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</w:p>
    <w:p w14:paraId="5B879BAE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 xml:space="preserve">I’m offering you a discount of 5% on </w:t>
      </w:r>
      <w:proofErr w:type="gramStart"/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>all of</w:t>
      </w:r>
      <w:proofErr w:type="gramEnd"/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 xml:space="preserve"> your orders through my Fullscript dispensary</w:t>
      </w:r>
      <w: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  <w:t>,</w:t>
      </w:r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  <w:t>so making your health a priority is easier than ever.</w:t>
      </w:r>
    </w:p>
    <w:tbl>
      <w:tblPr>
        <w:tblStyle w:val="a"/>
        <w:tblW w:w="9135" w:type="dxa"/>
        <w:tblLayout w:type="fixed"/>
        <w:tblLook w:val="0600" w:firstRow="0" w:lastRow="0" w:firstColumn="0" w:lastColumn="0" w:noHBand="1" w:noVBand="1"/>
      </w:tblPr>
      <w:tblGrid>
        <w:gridCol w:w="9135"/>
      </w:tblGrid>
      <w:tr w:rsidR="00D91612" w14:paraId="4C7C6E4A" w14:textId="77777777" w:rsidTr="009A2DFF">
        <w:tc>
          <w:tcPr>
            <w:tcW w:w="9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5962" w14:textId="77777777" w:rsidR="00D91612" w:rsidRDefault="00D91612" w:rsidP="009A2DFF">
            <w:pPr>
              <w:widowControl w:val="0"/>
              <w:rPr>
                <w:rFonts w:ascii="Helvetica Neue" w:eastAsia="Helvetica Neue" w:hAnsi="Helvetica Neue" w:cs="Helvetica Neue"/>
                <w:color w:val="88B04B"/>
                <w:sz w:val="24"/>
                <w:szCs w:val="24"/>
                <w:highlight w:val="white"/>
              </w:rPr>
            </w:pPr>
          </w:p>
          <w:tbl>
            <w:tblPr>
              <w:tblStyle w:val="a0"/>
              <w:tblW w:w="91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D91612" w14:paraId="24407880" w14:textId="77777777">
              <w:tc>
                <w:tcPr>
                  <w:tcW w:w="9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DF943" w14:textId="77777777" w:rsidR="00D91612" w:rsidRDefault="009A2DFF" w:rsidP="009A2DFF">
                  <w:pPr>
                    <w:jc w:val="center"/>
                    <w:rPr>
                      <w:rFonts w:ascii="Helvetica Neue" w:eastAsia="Helvetica Neue" w:hAnsi="Helvetica Neue" w:cs="Helvetica Neue"/>
                      <w:color w:val="88B04B"/>
                      <w:sz w:val="24"/>
                      <w:szCs w:val="24"/>
                      <w:highlight w:val="white"/>
                    </w:rPr>
                  </w:pPr>
                  <w:hyperlink r:id="rId6">
                    <w:r>
                      <w:rPr>
                        <w:rFonts w:ascii="Helvetica Neue" w:eastAsia="Helvetica Neue" w:hAnsi="Helvetica Neue" w:cs="Helvetica Neue"/>
                        <w:noProof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drawing>
                        <wp:inline distT="114300" distB="114300" distL="114300" distR="114300" wp14:anchorId="5F33BFB3" wp14:editId="5F4E18DB">
                          <wp:extent cx="5943600" cy="749300"/>
                          <wp:effectExtent l="0" t="0" r="0" b="0"/>
                          <wp:docPr id="3" name="image2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jpg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0" cy="7493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</w:tr>
          </w:tbl>
          <w:p w14:paraId="585B9553" w14:textId="77777777" w:rsidR="00D91612" w:rsidRDefault="00D91612" w:rsidP="009A2DFF">
            <w:pPr>
              <w:rPr>
                <w:rFonts w:ascii="Helvetica Neue" w:eastAsia="Helvetica Neue" w:hAnsi="Helvetica Neue" w:cs="Helvetica Neue"/>
                <w:color w:val="88B04B"/>
                <w:sz w:val="24"/>
                <w:szCs w:val="24"/>
                <w:highlight w:val="white"/>
              </w:rPr>
            </w:pPr>
          </w:p>
        </w:tc>
      </w:tr>
    </w:tbl>
    <w:p w14:paraId="5C9FDE41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7C1E477D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4"/>
          <w:szCs w:val="24"/>
          <w:highlight w:val="white"/>
        </w:rPr>
        <w:t xml:space="preserve">The following are some of the top ingredients recommended on Fullscript for cardiovascular support. </w:t>
      </w:r>
    </w:p>
    <w:p w14:paraId="30A98B7C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7358DE4C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Coenzyme Q10</w:t>
      </w:r>
    </w:p>
    <w:p w14:paraId="33550A0A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Coenzyme Q10, commonly referred to as CoQ10, is a fat-soluble antioxidant found in the body’s heart, kidneys, liver, and pancreas. CoQ10 provides heart cells with energy and protects them from free radical damage, supporting cardiovascular health. As a die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tary supplement, CoQ10 may reduce inflammation and improve markers of cardiovascular function when used in conjunction with statin medication.</w:t>
      </w:r>
    </w:p>
    <w:p w14:paraId="606EE1FF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18E0CE9A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8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coenzyme Q10-containing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 </w:t>
      </w:r>
    </w:p>
    <w:p w14:paraId="0362B10E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Omega-3 fatty acids</w:t>
      </w:r>
    </w:p>
    <w:p w14:paraId="7C2F2805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lastRenderedPageBreak/>
        <w:t xml:space="preserve">Omega-3 fatty acids, and more specifically </w:t>
      </w:r>
      <w:proofErr w:type="spellStart"/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eicosapentaenoic</w:t>
      </w:r>
      <w:proofErr w:type="spellEnd"/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 acid (EPA) and docosahexaenoic acid (DHA), are well known for their anti-inflammatory and cardioprotective effects. Intake of EPA and DHA has been associated with a lower risk of heart disease and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 fatal coronary heart disease. Additionally, omega-3 supplementation may improve peripheral artery disease (PAD) and atherosclerosis, a condition characterized by plaque buildup and narrowing of the arteries.</w:t>
      </w:r>
    </w:p>
    <w:p w14:paraId="381F4206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2234C3E9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9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omega-3 fatty acid-containing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 </w:t>
      </w:r>
    </w:p>
    <w:p w14:paraId="5D4C926A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5D99E55E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Hawthorn (</w:t>
      </w:r>
      <w:r>
        <w:rPr>
          <w:rFonts w:ascii="Helvetica Neue" w:eastAsia="Helvetica Neue" w:hAnsi="Helvetica Neue" w:cs="Helvetica Neue"/>
          <w:b/>
          <w:i/>
          <w:color w:val="88B04B"/>
          <w:sz w:val="29"/>
          <w:szCs w:val="29"/>
          <w:highlight w:val="white"/>
        </w:rPr>
        <w:t>Crataegus spp.</w:t>
      </w: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)</w:t>
      </w:r>
    </w:p>
    <w:p w14:paraId="74012076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Hawthorn is a genus of medicinal herbs that includes approximately 300 different species. Several beneficial effects of hawthorn have been identified, including antioxidant, hypotensive (blood pressure-lowering), and anti-atherosclerotic (to prevent or cou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nteract atherosclerosis) effects. Research suggests that long-term hawthorn supplementation may help improve the signs and symptoms of heart failure.</w:t>
      </w:r>
    </w:p>
    <w:p w14:paraId="6A473C7C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49E8575C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10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hawthorn-containing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</w:t>
      </w:r>
    </w:p>
    <w:p w14:paraId="716C36FD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5F868E8E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Garlic (</w:t>
      </w:r>
      <w:r>
        <w:rPr>
          <w:rFonts w:ascii="Helvetica Neue" w:eastAsia="Helvetica Neue" w:hAnsi="Helvetica Neue" w:cs="Helvetica Neue"/>
          <w:b/>
          <w:i/>
          <w:color w:val="88B04B"/>
          <w:sz w:val="29"/>
          <w:szCs w:val="29"/>
          <w:highlight w:val="white"/>
        </w:rPr>
        <w:t>Allium sativum</w:t>
      </w: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)</w:t>
      </w:r>
    </w:p>
    <w:p w14:paraId="4817C729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 member of the allium plant family, garlic is a culinary and medicinal herb. Garlic has been shown to provide antimicro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bial, antioxidant, hypoglycemic (blood sugar-reducing), and hypolipidemic (blood lipid-lowering) effects. Garlic supplements may help reduce total cholesterol levels, improve blood pressure in hypertensive patients, and lower C-reactive protein levels, an 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indicator of inflammation. </w:t>
      </w:r>
    </w:p>
    <w:p w14:paraId="5340471C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63F4E77E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11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garlic-containing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</w:t>
      </w:r>
    </w:p>
    <w:p w14:paraId="4561C34F" w14:textId="77777777" w:rsidR="00D91612" w:rsidRDefault="00D91612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</w:p>
    <w:p w14:paraId="528E952D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Magnesium</w:t>
      </w:r>
    </w:p>
    <w:p w14:paraId="42FDB344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An essential mineral, magnesium is requi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red for over 300 reactions in the body, including blood pressure regulation, nerve function, and cardiac conduction. In Western countries, an estimated 68% of adults consume below the recommended dietary allowance (RDA) of magnesium daily. Supplementation 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with magnesium may provide several cardiovascular benefits and has been shown to be effective in the treatment of hypertension, pre-eclampsia, eclampsia, mitral valve </w:t>
      </w:r>
      <w:proofErr w:type="gramStart"/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prolapse</w:t>
      </w:r>
      <w:proofErr w:type="gramEnd"/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, and heart failure.</w:t>
      </w:r>
    </w:p>
    <w:p w14:paraId="19D32254" w14:textId="77777777" w:rsidR="00D91612" w:rsidRDefault="00D91612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</w:p>
    <w:p w14:paraId="53D8B633" w14:textId="77777777" w:rsidR="00D91612" w:rsidRDefault="009A2DFF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The list below outlines the established recommended dietary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 allowance (RDA) for daily intake of magnesium based on age:</w:t>
      </w:r>
    </w:p>
    <w:p w14:paraId="3BD29985" w14:textId="77777777" w:rsidR="00D91612" w:rsidRDefault="00D91612" w:rsidP="009A2DFF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</w:p>
    <w:p w14:paraId="195858BD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Infants 0-6 months: 30 mg</w:t>
      </w:r>
    </w:p>
    <w:p w14:paraId="6D5100D5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Infants 7-12 months: 75 mg</w:t>
      </w:r>
    </w:p>
    <w:p w14:paraId="5799D1BB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Children 1-3 years: 80 mg</w:t>
      </w:r>
    </w:p>
    <w:p w14:paraId="430FD191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Children 4-8 years: 130 mg</w:t>
      </w:r>
    </w:p>
    <w:p w14:paraId="50E79153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Adolescents 9-13 years: 240 mg</w:t>
      </w:r>
    </w:p>
    <w:p w14:paraId="5EBEFB56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lastRenderedPageBreak/>
        <w:t>Adolescents 14-18 years (male): 410 mg</w:t>
      </w:r>
    </w:p>
    <w:p w14:paraId="5FBCF871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Adolescents 14-18 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years (female): 360 mg</w:t>
      </w:r>
    </w:p>
    <w:p w14:paraId="6F93FDF6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Adults 19-30 years (male): 400 mg</w:t>
      </w:r>
    </w:p>
    <w:p w14:paraId="1B82AA53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Adults 19-30 years (female): 310 mg </w:t>
      </w:r>
    </w:p>
    <w:p w14:paraId="7ECCF19D" w14:textId="6E960B64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Adults 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31+ years (male): 420 mg</w:t>
      </w:r>
    </w:p>
    <w:p w14:paraId="175E0E79" w14:textId="77777777" w:rsidR="00D91612" w:rsidRDefault="009A2DFF" w:rsidP="009A2DFF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Adults 31+ years (female): 320 mg </w:t>
      </w:r>
    </w:p>
    <w:p w14:paraId="0E5DE3F1" w14:textId="77777777" w:rsidR="00D91612" w:rsidRDefault="00D91612" w:rsidP="009A2DFF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42FE5FEE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12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magnesium-containing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</w:t>
      </w:r>
    </w:p>
    <w:p w14:paraId="33B2FCF6" w14:textId="77777777" w:rsidR="00D91612" w:rsidRDefault="009A2DFF" w:rsidP="009A2DFF">
      <w:pPr>
        <w:shd w:val="clear" w:color="auto" w:fill="FFFFFF"/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 xml:space="preserve"> </w:t>
      </w:r>
    </w:p>
    <w:p w14:paraId="749F387D" w14:textId="77777777" w:rsidR="00D91612" w:rsidRDefault="009A2DFF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hyperlink r:id="rId13">
        <w:r>
          <w:rPr>
            <w:rFonts w:ascii="Helvetica Neue" w:eastAsia="Helvetica Neue" w:hAnsi="Helvetica Neue" w:cs="Helvetica Neue"/>
            <w:b/>
            <w:color w:val="3597DA"/>
            <w:sz w:val="27"/>
            <w:szCs w:val="27"/>
            <w:highlight w:val="white"/>
            <w:u w:val="single"/>
          </w:rPr>
          <w:t>Log in</w:t>
        </w:r>
      </w:hyperlink>
      <w:r>
        <w:rPr>
          <w:rFonts w:ascii="Helvetica Neue" w:eastAsia="Helvetica Neue" w:hAnsi="Helvetica Neue" w:cs="Helvetica Neue"/>
          <w:b/>
          <w:color w:val="3597DA"/>
          <w:sz w:val="27"/>
          <w:szCs w:val="27"/>
          <w:highlight w:val="white"/>
        </w:rPr>
        <w:t xml:space="preserve"> to your Fullscript account no</w:t>
      </w:r>
      <w:r>
        <w:rPr>
          <w:rFonts w:ascii="Helvetica Neue" w:eastAsia="Helvetica Neue" w:hAnsi="Helvetica Neue" w:cs="Helvetica Neue"/>
          <w:b/>
          <w:color w:val="3597DA"/>
          <w:sz w:val="27"/>
          <w:szCs w:val="27"/>
          <w:highlight w:val="white"/>
        </w:rPr>
        <w:t>w to explore these supplements and receive a 5% discount on your order!</w:t>
      </w:r>
    </w:p>
    <w:tbl>
      <w:tblPr>
        <w:tblStyle w:val="a1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D91612" w14:paraId="7F5B09A6" w14:textId="77777777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0C6C" w14:textId="77777777" w:rsidR="00D91612" w:rsidRDefault="00D91612" w:rsidP="009A2DFF">
            <w:pPr>
              <w:widowControl w:val="0"/>
              <w:rPr>
                <w:rFonts w:ascii="Helvetica Neue" w:eastAsia="Helvetica Neue" w:hAnsi="Helvetica Neue" w:cs="Helvetica Neue"/>
                <w:b/>
                <w:color w:val="404F5E"/>
                <w:sz w:val="21"/>
                <w:szCs w:val="21"/>
                <w:highlight w:val="white"/>
              </w:rPr>
            </w:pPr>
          </w:p>
          <w:tbl>
            <w:tblPr>
              <w:tblStyle w:val="a2"/>
              <w:tblW w:w="91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D91612" w14:paraId="12DC0683" w14:textId="77777777">
              <w:tc>
                <w:tcPr>
                  <w:tcW w:w="9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44C33" w14:textId="77777777" w:rsidR="00D91612" w:rsidRDefault="009A2DFF" w:rsidP="009A2DFF">
                  <w:pPr>
                    <w:jc w:val="center"/>
                    <w:rPr>
                      <w:rFonts w:ascii="Helvetica Neue" w:eastAsia="Helvetica Neue" w:hAnsi="Helvetica Neue" w:cs="Helvetica Neue"/>
                      <w:b/>
                      <w:color w:val="404F5E"/>
                      <w:sz w:val="21"/>
                      <w:szCs w:val="21"/>
                      <w:highlight w:val="white"/>
                    </w:rPr>
                  </w:pPr>
                  <w:hyperlink r:id="rId14">
                    <w:r>
                      <w:rPr>
                        <w:rFonts w:ascii="Helvetica Neue" w:eastAsia="Helvetica Neue" w:hAnsi="Helvetica Neue" w:cs="Helvetica Neue"/>
                        <w:b/>
                        <w:noProof/>
                        <w:color w:val="1155CC"/>
                        <w:sz w:val="21"/>
                        <w:szCs w:val="21"/>
                        <w:highlight w:val="white"/>
                        <w:u w:val="single"/>
                      </w:rPr>
                      <w:drawing>
                        <wp:inline distT="114300" distB="114300" distL="114300" distR="114300" wp14:anchorId="521C79CD" wp14:editId="29798B0F">
                          <wp:extent cx="5943600" cy="1574800"/>
                          <wp:effectExtent l="0" t="0" r="0" b="0"/>
                          <wp:docPr id="1" name="image3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3.jpg"/>
                                  <pic:cNvPicPr preferRelativeResize="0"/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0" cy="15748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</w:tr>
          </w:tbl>
          <w:p w14:paraId="1DF29C18" w14:textId="77777777" w:rsidR="00D91612" w:rsidRDefault="00D91612" w:rsidP="009A2DFF">
            <w:pPr>
              <w:rPr>
                <w:rFonts w:ascii="Helvetica Neue" w:eastAsia="Helvetica Neue" w:hAnsi="Helvetica Neue" w:cs="Helvetica Neue"/>
                <w:b/>
                <w:color w:val="404F5E"/>
                <w:sz w:val="21"/>
                <w:szCs w:val="21"/>
                <w:highlight w:val="white"/>
              </w:rPr>
            </w:pPr>
          </w:p>
        </w:tc>
      </w:tr>
    </w:tbl>
    <w:p w14:paraId="628E29B4" w14:textId="77777777" w:rsidR="00D91612" w:rsidRDefault="00D91612" w:rsidP="009A2DFF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</w:p>
    <w:p w14:paraId="02E2B6BC" w14:textId="77777777" w:rsidR="00D91612" w:rsidRDefault="00D91612" w:rsidP="009A2DFF"/>
    <w:sectPr w:rsidR="00D916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651"/>
    <w:multiLevelType w:val="multilevel"/>
    <w:tmpl w:val="1B8AC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2"/>
    <w:rsid w:val="009A2DFF"/>
    <w:rsid w:val="00D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68939"/>
  <w15:docId w15:val="{3A6333D1-D805-6F4B-8764-2F744777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fullscript.com/u/catalog?s=%22VGFnLTIyNQ%3D%3D%22&amp;ct_array=%22VGFnLTQwOA%3D%3D%22&amp;ct_array=%22VGFnLTM5OA%3D%3D%22&amp;ingredients_array=%7B%22name%22%3A%22CoQ10%22%2C%22searchAttributes%22%3A%7B%22id%22%3A%22SW5ncmVkaWVudC00NDc%3D%22%2C%22addon%22%3A%7B%22dose%22%3A0%2C%22symbol%22%3A%22gte%22%2C%22unit%22%3Anull%7D%7D%7D&amp;onlyIngredient=true" TargetMode="External"/><Relationship Id="rId13" Type="http://schemas.openxmlformats.org/officeDocument/2006/relationships/hyperlink" Target="https://ca.fullscript.com/sso_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ca.fullscript.com/u/catalog?s=%22VGFnLTIyNQ%3D%3D%22&amp;ct_array=%22VGFnLTQwOA%3D%3D%22&amp;ct_array=%22VGFnLTM5OA%3D%3D%22&amp;ingredients_array=%7B%22name%22%3A%22Magnesium%22%2C%22searchAttributes%22%3A%7B%22id%22%3A%22SW5ncmVkaWVudC0xMjA%3D%22%2C%22addon%22%3A%7B%22dose%22%3A0%2C%22symbol%22%3A%22gte%22%2C%22unit%22%3Anull%7D%7D%7D&amp;onlyIngredient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.fullscript.com/sso_login" TargetMode="External"/><Relationship Id="rId11" Type="http://schemas.openxmlformats.org/officeDocument/2006/relationships/hyperlink" Target="https://ca.fullscript.com/u/catalog?s=%22VGFnLTIyNQ%3D%3D%22&amp;ct_array=%22VGFnLTQwOA%3D%3D%22&amp;ct_array=%22VGFnLTM5OA%3D%3D%22&amp;query=%22garlic%2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g"/><Relationship Id="rId10" Type="http://schemas.openxmlformats.org/officeDocument/2006/relationships/hyperlink" Target="https://ca.fullscript.com/u/catalog?s=%22VGFnLTIyNQ%3D%3D%22&amp;ct_array=%22VGFnLTQwOA%3D%3D%22&amp;ct_array=%22VGFnLTM5OA%3D%3D%22&amp;query=%22Hawthor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fullscript.com/u/catalog?s=%22VGFnLTIyNQ%3D%3D%22&amp;ct_array=%22VGFnLTQwOA%3D%3D%22&amp;ct_array=%22VGFnLTM5OA%3D%3D%22&amp;onlyIngredient=false&amp;ingredients_array=%7B%22name%22%3A%22Omega+3%22%2C%22searchAttributes%22%3A%7B%22id%22%3A%22SW5ncmVkaWVudC0zMDQ%3D%22%2C%22addon%22%3A%7B%22dose%22%3A0%2C%22symbol%22%3A%22gte%22%2C%22unit%22%3Anull%7D%7D%7D" TargetMode="External"/><Relationship Id="rId14" Type="http://schemas.openxmlformats.org/officeDocument/2006/relationships/hyperlink" Target="https://ca.fullscript.com/sso_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2022-01-26T16:44:00Z</dcterms:created>
  <dcterms:modified xsi:type="dcterms:W3CDTF">2022-01-26T16:46:00Z</dcterms:modified>
</cp:coreProperties>
</file>