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1F35" w14:textId="77777777" w:rsidR="00B749A8" w:rsidRDefault="00D87569">
      <w:r>
        <w:rPr>
          <w:noProof/>
        </w:rPr>
        <w:drawing>
          <wp:inline distT="114300" distB="114300" distL="114300" distR="114300" wp14:anchorId="0D2F62B7" wp14:editId="6DEACB43">
            <wp:extent cx="5943600" cy="1981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0BFD03" w14:textId="77777777" w:rsidR="00B749A8" w:rsidRDefault="00B749A8"/>
    <w:p w14:paraId="2BF61DE1" w14:textId="77777777" w:rsidR="00B749A8" w:rsidRDefault="00D87569">
      <w:pPr>
        <w:rPr>
          <w:rFonts w:ascii="Helvetica Neue" w:eastAsia="Helvetica Neue" w:hAnsi="Helvetica Neue" w:cs="Helvetica Neue"/>
          <w:color w:val="404F5E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4"/>
          <w:szCs w:val="24"/>
          <w:highlight w:val="white"/>
        </w:rPr>
        <w:t>The World Health Organization and the American Heart Association have reported cardiovascular disease as a leading cause of mortality, making it essential to address and ideally prevent the condition. Fortunately, several of the risk factors for cardiovasc</w:t>
      </w:r>
      <w:r>
        <w:rPr>
          <w:rFonts w:ascii="Helvetica Neue" w:eastAsia="Helvetica Neue" w:hAnsi="Helvetica Neue" w:cs="Helvetica Neue"/>
          <w:color w:val="404F5E"/>
          <w:sz w:val="24"/>
          <w:szCs w:val="24"/>
          <w:highlight w:val="white"/>
        </w:rPr>
        <w:t>ular disease are modifiable, such as elevated blood pressure, irregular cholesterol levels, and being overweight or obese. Lifestyle modifications, including a heart-healthy diet, regular physical activity, smoking cessation, and certain dietary supplement</w:t>
      </w:r>
      <w:r>
        <w:rPr>
          <w:rFonts w:ascii="Helvetica Neue" w:eastAsia="Helvetica Neue" w:hAnsi="Helvetica Neue" w:cs="Helvetica Neue"/>
          <w:color w:val="404F5E"/>
          <w:sz w:val="24"/>
          <w:szCs w:val="24"/>
          <w:highlight w:val="white"/>
        </w:rPr>
        <w:t>s, can be implemented to support cardiovascular health.</w:t>
      </w:r>
    </w:p>
    <w:p w14:paraId="1BE506A6" w14:textId="77777777" w:rsidR="00B749A8" w:rsidRDefault="00B749A8">
      <w:pPr>
        <w:rPr>
          <w:rFonts w:ascii="Helvetica Neue" w:eastAsia="Helvetica Neue" w:hAnsi="Helvetica Neue" w:cs="Helvetica Neue"/>
          <w:color w:val="404F5E"/>
          <w:sz w:val="24"/>
          <w:szCs w:val="24"/>
          <w:highlight w:val="white"/>
        </w:rPr>
      </w:pPr>
    </w:p>
    <w:p w14:paraId="3C3CD3D7" w14:textId="77777777" w:rsidR="00B749A8" w:rsidRDefault="00D87569">
      <w:pPr>
        <w:rPr>
          <w:rFonts w:ascii="Helvetica Neue" w:eastAsia="Helvetica Neue" w:hAnsi="Helvetica Neue" w:cs="Helvetica Neue"/>
          <w:color w:val="404F5E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b/>
          <w:color w:val="88B04B"/>
          <w:sz w:val="24"/>
          <w:szCs w:val="24"/>
          <w:highlight w:val="white"/>
        </w:rPr>
        <w:t xml:space="preserve">I’m offering you a discount of 5% on </w:t>
      </w:r>
      <w:proofErr w:type="gramStart"/>
      <w:r>
        <w:rPr>
          <w:rFonts w:ascii="Helvetica Neue" w:eastAsia="Helvetica Neue" w:hAnsi="Helvetica Neue" w:cs="Helvetica Neue"/>
          <w:b/>
          <w:color w:val="88B04B"/>
          <w:sz w:val="24"/>
          <w:szCs w:val="24"/>
          <w:highlight w:val="white"/>
        </w:rPr>
        <w:t>all of</w:t>
      </w:r>
      <w:proofErr w:type="gramEnd"/>
      <w:r>
        <w:rPr>
          <w:rFonts w:ascii="Helvetica Neue" w:eastAsia="Helvetica Neue" w:hAnsi="Helvetica Neue" w:cs="Helvetica Neue"/>
          <w:b/>
          <w:color w:val="88B04B"/>
          <w:sz w:val="24"/>
          <w:szCs w:val="24"/>
          <w:highlight w:val="white"/>
        </w:rPr>
        <w:t xml:space="preserve"> your orders through my Fullscript dispensary</w:t>
      </w:r>
      <w:r>
        <w:rPr>
          <w:rFonts w:ascii="Helvetica Neue" w:eastAsia="Helvetica Neue" w:hAnsi="Helvetica Neue" w:cs="Helvetica Neue"/>
          <w:color w:val="88B04B"/>
          <w:sz w:val="24"/>
          <w:szCs w:val="24"/>
          <w:highlight w:val="white"/>
        </w:rPr>
        <w:t>,</w:t>
      </w:r>
      <w:r>
        <w:rPr>
          <w:rFonts w:ascii="Helvetica Neue" w:eastAsia="Helvetica Neue" w:hAnsi="Helvetica Neue" w:cs="Helvetica Neue"/>
          <w:b/>
          <w:color w:val="88B04B"/>
          <w:sz w:val="24"/>
          <w:szCs w:val="24"/>
          <w:highlight w:val="white"/>
        </w:rPr>
        <w:t xml:space="preserve"> </w:t>
      </w:r>
      <w:r>
        <w:rPr>
          <w:rFonts w:ascii="Helvetica Neue" w:eastAsia="Helvetica Neue" w:hAnsi="Helvetica Neue" w:cs="Helvetica Neue"/>
          <w:color w:val="88B04B"/>
          <w:sz w:val="24"/>
          <w:szCs w:val="24"/>
          <w:highlight w:val="white"/>
        </w:rPr>
        <w:t>so making your health a priority is easier than ever.</w:t>
      </w:r>
    </w:p>
    <w:tbl>
      <w:tblPr>
        <w:tblStyle w:val="a"/>
        <w:tblW w:w="9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35"/>
      </w:tblGrid>
      <w:tr w:rsidR="00B749A8" w14:paraId="661F379C" w14:textId="77777777"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7A82A" w14:textId="77777777" w:rsidR="00B749A8" w:rsidRDefault="00B749A8">
            <w:pPr>
              <w:widowControl w:val="0"/>
              <w:rPr>
                <w:rFonts w:ascii="Helvetica Neue" w:eastAsia="Helvetica Neue" w:hAnsi="Helvetica Neue" w:cs="Helvetica Neue"/>
                <w:color w:val="88B04B"/>
                <w:sz w:val="24"/>
                <w:szCs w:val="24"/>
                <w:highlight w:val="white"/>
              </w:rPr>
            </w:pPr>
          </w:p>
          <w:tbl>
            <w:tblPr>
              <w:tblStyle w:val="a0"/>
              <w:tblW w:w="91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35"/>
            </w:tblGrid>
            <w:tr w:rsidR="00B749A8" w14:paraId="2D70C560" w14:textId="77777777">
              <w:tc>
                <w:tcPr>
                  <w:tcW w:w="9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1B0A8E" w14:textId="77777777" w:rsidR="00B749A8" w:rsidRDefault="00D87569">
                  <w:pPr>
                    <w:jc w:val="center"/>
                    <w:rPr>
                      <w:rFonts w:ascii="Helvetica Neue" w:eastAsia="Helvetica Neue" w:hAnsi="Helvetica Neue" w:cs="Helvetica Neue"/>
                      <w:color w:val="88B04B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Helvetica Neue" w:eastAsia="Helvetica Neue" w:hAnsi="Helvetica Neue" w:cs="Helvetica Neue"/>
                      <w:noProof/>
                      <w:color w:val="88B04B"/>
                      <w:sz w:val="24"/>
                      <w:szCs w:val="24"/>
                      <w:highlight w:val="white"/>
                    </w:rPr>
                    <w:drawing>
                      <wp:inline distT="114300" distB="114300" distL="114300" distR="114300" wp14:anchorId="6384BFCD" wp14:editId="76BEFC0D">
                        <wp:extent cx="5943600" cy="749300"/>
                        <wp:effectExtent l="0" t="0" r="0" b="0"/>
                        <wp:docPr id="3" name="image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7493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A50BAE8" w14:textId="77777777" w:rsidR="00B749A8" w:rsidRDefault="00B749A8">
            <w:pPr>
              <w:rPr>
                <w:rFonts w:ascii="Helvetica Neue" w:eastAsia="Helvetica Neue" w:hAnsi="Helvetica Neue" w:cs="Helvetica Neue"/>
                <w:color w:val="88B04B"/>
                <w:sz w:val="24"/>
                <w:szCs w:val="24"/>
                <w:highlight w:val="white"/>
              </w:rPr>
            </w:pPr>
          </w:p>
        </w:tc>
      </w:tr>
    </w:tbl>
    <w:p w14:paraId="56A55A00" w14:textId="77777777" w:rsidR="00B749A8" w:rsidRDefault="00B749A8">
      <w:pPr>
        <w:rPr>
          <w:rFonts w:ascii="Helvetica Neue" w:eastAsia="Helvetica Neue" w:hAnsi="Helvetica Neue" w:cs="Helvetica Neue"/>
          <w:color w:val="88B04B"/>
          <w:sz w:val="24"/>
          <w:szCs w:val="24"/>
          <w:highlight w:val="white"/>
        </w:rPr>
      </w:pPr>
    </w:p>
    <w:p w14:paraId="207A9548" w14:textId="77777777" w:rsidR="00B749A8" w:rsidRDefault="00D87569">
      <w:pPr>
        <w:rPr>
          <w:rFonts w:ascii="Helvetica Neue" w:eastAsia="Helvetica Neue" w:hAnsi="Helvetica Neue" w:cs="Helvetica Neue"/>
          <w:b/>
          <w:color w:val="404F5E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b/>
          <w:color w:val="404F5E"/>
          <w:sz w:val="24"/>
          <w:szCs w:val="24"/>
          <w:highlight w:val="white"/>
        </w:rPr>
        <w:t xml:space="preserve">The following are some of the top ingredients recommended on Fullscript for cardiovascular support. </w:t>
      </w:r>
    </w:p>
    <w:p w14:paraId="19BDB87C" w14:textId="77777777" w:rsidR="00B749A8" w:rsidRDefault="00B749A8">
      <w:pPr>
        <w:rPr>
          <w:rFonts w:ascii="Helvetica Neue" w:eastAsia="Helvetica Neue" w:hAnsi="Helvetica Neue" w:cs="Helvetica Neue"/>
          <w:color w:val="88B04B"/>
          <w:sz w:val="24"/>
          <w:szCs w:val="24"/>
          <w:highlight w:val="white"/>
        </w:rPr>
      </w:pPr>
    </w:p>
    <w:p w14:paraId="1E5B31E9" w14:textId="77777777" w:rsidR="00B749A8" w:rsidRDefault="00D87569">
      <w:pP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</w:pPr>
      <w: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  <w:t>Coenzyme Q10</w:t>
      </w:r>
    </w:p>
    <w:p w14:paraId="2B966859" w14:textId="77777777" w:rsidR="00B749A8" w:rsidRDefault="00D87569">
      <w:p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Coenzyme Q10, commonly referred to as CoQ10, is a fat-soluble antioxidant found in the body’s heart, kidneys, liver, and pancreas. CoQ10 provides heart cells with energy and protects them from free radical damage, supporting cardiovascular health. As a die</w:t>
      </w: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tary supplement, CoQ10 may reduce inflammation and improve markers of cardiovascular function when used in conjunction with statin medication.</w:t>
      </w:r>
    </w:p>
    <w:p w14:paraId="442DFAB8" w14:textId="77777777" w:rsidR="00B749A8" w:rsidRDefault="00B749A8">
      <w:pPr>
        <w:rPr>
          <w:rFonts w:ascii="Helvetica Neue" w:eastAsia="Helvetica Neue" w:hAnsi="Helvetica Neue" w:cs="Helvetica Neue"/>
          <w:color w:val="88B04B"/>
          <w:sz w:val="24"/>
          <w:szCs w:val="24"/>
          <w:highlight w:val="white"/>
        </w:rPr>
      </w:pPr>
    </w:p>
    <w:p w14:paraId="32F83D43" w14:textId="77777777" w:rsidR="00B749A8" w:rsidRDefault="00D87569">
      <w:pP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  <w:t xml:space="preserve">Find </w:t>
      </w:r>
      <w:hyperlink r:id="rId7">
        <w:r>
          <w:rPr>
            <w:rFonts w:ascii="Helvetica Neue" w:eastAsia="Helvetica Neue" w:hAnsi="Helvetica Neue" w:cs="Helvetica Neue"/>
            <w:b/>
            <w:color w:val="1155CC"/>
            <w:sz w:val="21"/>
            <w:szCs w:val="21"/>
            <w:highlight w:val="white"/>
            <w:u w:val="single"/>
          </w:rPr>
          <w:t>coenzyme Q10-containing supplements</w:t>
        </w:r>
      </w:hyperlink>
      <w: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  <w:t xml:space="preserve"> on Fullscript </w:t>
      </w:r>
    </w:p>
    <w:p w14:paraId="7852F3B3" w14:textId="77777777" w:rsidR="00B749A8" w:rsidRDefault="00B749A8">
      <w:pP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</w:pPr>
    </w:p>
    <w:p w14:paraId="215C1B5B" w14:textId="77777777" w:rsidR="00B749A8" w:rsidRDefault="00B749A8">
      <w:pP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</w:pPr>
    </w:p>
    <w:p w14:paraId="65923950" w14:textId="77777777" w:rsidR="00B749A8" w:rsidRDefault="00B749A8">
      <w:pP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</w:pPr>
    </w:p>
    <w:p w14:paraId="35ADA84D" w14:textId="77777777" w:rsidR="00B749A8" w:rsidRDefault="00D87569">
      <w:pP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</w:pPr>
      <w: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  <w:lastRenderedPageBreak/>
        <w:t>Omega-3 fatty acids</w:t>
      </w:r>
    </w:p>
    <w:p w14:paraId="621E5D93" w14:textId="77777777" w:rsidR="00B749A8" w:rsidRDefault="00D87569">
      <w:p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 xml:space="preserve">Omega-3 </w:t>
      </w: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fatty acids, and more specifically eicosapentaenoic acid (EPA) and docosahexaenoic acid (DHA), are well-known for their anti-inflammatory and cardioprotective effects. Intake of EPA and DHA has been associated with a lower risk of heart disease and fatal c</w:t>
      </w: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oronary heart disease. Additionally, omega-3 supplementation may improve peripheral artery disease (PAD) and atherosclerosis, a condition characterized by the build-up of plaque and narrowing of the arteries.</w:t>
      </w:r>
    </w:p>
    <w:p w14:paraId="41F8B4CE" w14:textId="77777777" w:rsidR="00B749A8" w:rsidRDefault="00B749A8">
      <w:pPr>
        <w:rPr>
          <w:rFonts w:ascii="Helvetica Neue" w:eastAsia="Helvetica Neue" w:hAnsi="Helvetica Neue" w:cs="Helvetica Neue"/>
          <w:color w:val="88B04B"/>
          <w:sz w:val="24"/>
          <w:szCs w:val="24"/>
          <w:highlight w:val="white"/>
        </w:rPr>
      </w:pPr>
    </w:p>
    <w:p w14:paraId="7D3D2BF5" w14:textId="77777777" w:rsidR="00B749A8" w:rsidRDefault="00D87569">
      <w:pP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  <w:t xml:space="preserve">Find </w:t>
      </w:r>
      <w:hyperlink r:id="rId8">
        <w:r>
          <w:rPr>
            <w:rFonts w:ascii="Helvetica Neue" w:eastAsia="Helvetica Neue" w:hAnsi="Helvetica Neue" w:cs="Helvetica Neue"/>
            <w:b/>
            <w:color w:val="1155CC"/>
            <w:sz w:val="21"/>
            <w:szCs w:val="21"/>
            <w:highlight w:val="white"/>
            <w:u w:val="single"/>
          </w:rPr>
          <w:t>omega-3 fatty acid-containing supplements</w:t>
        </w:r>
      </w:hyperlink>
      <w: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  <w:t xml:space="preserve"> on Fullscript </w:t>
      </w:r>
    </w:p>
    <w:p w14:paraId="2ECC5023" w14:textId="77777777" w:rsidR="00B749A8" w:rsidRDefault="00B749A8">
      <w:pP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</w:pPr>
    </w:p>
    <w:p w14:paraId="6F2B2B8C" w14:textId="77777777" w:rsidR="00B749A8" w:rsidRDefault="00B749A8">
      <w:pPr>
        <w:rPr>
          <w:rFonts w:ascii="Helvetica Neue" w:eastAsia="Helvetica Neue" w:hAnsi="Helvetica Neue" w:cs="Helvetica Neue"/>
          <w:color w:val="88B04B"/>
          <w:sz w:val="24"/>
          <w:szCs w:val="24"/>
          <w:highlight w:val="white"/>
        </w:rPr>
      </w:pPr>
    </w:p>
    <w:p w14:paraId="66329C15" w14:textId="77777777" w:rsidR="00B749A8" w:rsidRDefault="00D87569">
      <w:pP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</w:pPr>
      <w: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  <w:t>Hawthorn (</w:t>
      </w:r>
      <w:r>
        <w:rPr>
          <w:rFonts w:ascii="Helvetica Neue" w:eastAsia="Helvetica Neue" w:hAnsi="Helvetica Neue" w:cs="Helvetica Neue"/>
          <w:b/>
          <w:i/>
          <w:color w:val="88B04B"/>
          <w:sz w:val="29"/>
          <w:szCs w:val="29"/>
          <w:highlight w:val="white"/>
        </w:rPr>
        <w:t>Crataegus spp.</w:t>
      </w:r>
      <w: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  <w:t>)</w:t>
      </w:r>
    </w:p>
    <w:p w14:paraId="3E9AC625" w14:textId="77777777" w:rsidR="00B749A8" w:rsidRDefault="00D87569">
      <w:p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Hawthorn is a genus of medicinal herbs that includes approximately 300 different species. Several beneficial effects of hawthorn have been identified, including antioxidant, hypotensive (blood pressure-lowering), and anti-atherosclerotic (to prevent or cou</w:t>
      </w: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 xml:space="preserve">nteract atherosclerosis) effects. Research suggests that long-term hawthorn supplementation may help improve the signs and symptoms of heart failure. </w:t>
      </w:r>
    </w:p>
    <w:p w14:paraId="52B03E3A" w14:textId="77777777" w:rsidR="00B749A8" w:rsidRDefault="00B749A8">
      <w:pPr>
        <w:rPr>
          <w:rFonts w:ascii="Helvetica Neue" w:eastAsia="Helvetica Neue" w:hAnsi="Helvetica Neue" w:cs="Helvetica Neue"/>
          <w:color w:val="88B04B"/>
          <w:sz w:val="24"/>
          <w:szCs w:val="24"/>
          <w:highlight w:val="white"/>
        </w:rPr>
      </w:pPr>
    </w:p>
    <w:p w14:paraId="4E50072B" w14:textId="77777777" w:rsidR="00B749A8" w:rsidRDefault="00D87569">
      <w:pP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  <w:t xml:space="preserve">Find </w:t>
      </w:r>
      <w:hyperlink r:id="rId9">
        <w:r>
          <w:rPr>
            <w:rFonts w:ascii="Helvetica Neue" w:eastAsia="Helvetica Neue" w:hAnsi="Helvetica Neue" w:cs="Helvetica Neue"/>
            <w:b/>
            <w:color w:val="1155CC"/>
            <w:sz w:val="21"/>
            <w:szCs w:val="21"/>
            <w:highlight w:val="white"/>
            <w:u w:val="single"/>
          </w:rPr>
          <w:t>hawthorn-containing sup</w:t>
        </w:r>
        <w:r>
          <w:rPr>
            <w:rFonts w:ascii="Helvetica Neue" w:eastAsia="Helvetica Neue" w:hAnsi="Helvetica Neue" w:cs="Helvetica Neue"/>
            <w:b/>
            <w:color w:val="1155CC"/>
            <w:sz w:val="21"/>
            <w:szCs w:val="21"/>
            <w:highlight w:val="white"/>
            <w:u w:val="single"/>
          </w:rPr>
          <w:t>plements</w:t>
        </w:r>
      </w:hyperlink>
      <w: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  <w:t xml:space="preserve"> on Fullscript</w:t>
      </w:r>
    </w:p>
    <w:p w14:paraId="6F2FDD20" w14:textId="77777777" w:rsidR="00B749A8" w:rsidRDefault="00B749A8">
      <w:pPr>
        <w:rPr>
          <w:rFonts w:ascii="Helvetica Neue" w:eastAsia="Helvetica Neue" w:hAnsi="Helvetica Neue" w:cs="Helvetica Neue"/>
          <w:color w:val="88B04B"/>
          <w:sz w:val="24"/>
          <w:szCs w:val="24"/>
          <w:highlight w:val="white"/>
        </w:rPr>
      </w:pPr>
    </w:p>
    <w:p w14:paraId="1A431308" w14:textId="77777777" w:rsidR="00B749A8" w:rsidRDefault="00D87569">
      <w:pP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</w:pPr>
      <w: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  <w:t>Garlic (</w:t>
      </w:r>
      <w:r>
        <w:rPr>
          <w:rFonts w:ascii="Helvetica Neue" w:eastAsia="Helvetica Neue" w:hAnsi="Helvetica Neue" w:cs="Helvetica Neue"/>
          <w:b/>
          <w:i/>
          <w:color w:val="88B04B"/>
          <w:sz w:val="29"/>
          <w:szCs w:val="29"/>
          <w:highlight w:val="white"/>
        </w:rPr>
        <w:t>Allium sativum</w:t>
      </w:r>
      <w: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  <w:t>)</w:t>
      </w:r>
    </w:p>
    <w:p w14:paraId="1A3DDDDE" w14:textId="77777777" w:rsidR="00B749A8" w:rsidRDefault="00D87569">
      <w:p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A member of the allium plant family, garlic is a culinary and medicinal herb. Garlic has been shown to provide antimicrobial, antioxidant, hypoglycemic (blood sugar-reducing), and hypolipidemic (blood lipid-lowering) effects. Garlic supplements have been s</w:t>
      </w: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 xml:space="preserve">hown to reduce total cholesterol levels, improve blood pressure in hypertensive patients, and lower C-reactive protein, an indicator of inflammation. </w:t>
      </w:r>
    </w:p>
    <w:p w14:paraId="52755DD2" w14:textId="77777777" w:rsidR="00B749A8" w:rsidRDefault="00B749A8">
      <w:pPr>
        <w:rPr>
          <w:rFonts w:ascii="Helvetica Neue" w:eastAsia="Helvetica Neue" w:hAnsi="Helvetica Neue" w:cs="Helvetica Neue"/>
          <w:color w:val="88B04B"/>
          <w:sz w:val="24"/>
          <w:szCs w:val="24"/>
          <w:highlight w:val="white"/>
        </w:rPr>
      </w:pPr>
    </w:p>
    <w:p w14:paraId="7B9D28C3" w14:textId="77777777" w:rsidR="00B749A8" w:rsidRDefault="00D87569">
      <w:pP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  <w:t xml:space="preserve">Find </w:t>
      </w:r>
      <w:hyperlink r:id="rId10">
        <w:r>
          <w:rPr>
            <w:rFonts w:ascii="Helvetica Neue" w:eastAsia="Helvetica Neue" w:hAnsi="Helvetica Neue" w:cs="Helvetica Neue"/>
            <w:b/>
            <w:color w:val="1155CC"/>
            <w:sz w:val="21"/>
            <w:szCs w:val="21"/>
            <w:highlight w:val="white"/>
            <w:u w:val="single"/>
          </w:rPr>
          <w:t>garlic-containing supplements</w:t>
        </w:r>
      </w:hyperlink>
      <w: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  <w:t xml:space="preserve"> on Fullscript</w:t>
      </w:r>
    </w:p>
    <w:p w14:paraId="5731BB1F" w14:textId="77777777" w:rsidR="00B749A8" w:rsidRDefault="00B749A8">
      <w:pP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</w:pPr>
    </w:p>
    <w:p w14:paraId="29E47EE3" w14:textId="77777777" w:rsidR="00B749A8" w:rsidRDefault="00D87569">
      <w:pP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</w:pPr>
      <w:r>
        <w:rPr>
          <w:rFonts w:ascii="Helvetica Neue" w:eastAsia="Helvetica Neue" w:hAnsi="Helvetica Neue" w:cs="Helvetica Neue"/>
          <w:b/>
          <w:color w:val="88B04B"/>
          <w:sz w:val="29"/>
          <w:szCs w:val="29"/>
          <w:highlight w:val="white"/>
        </w:rPr>
        <w:t>Magnesium</w:t>
      </w:r>
    </w:p>
    <w:p w14:paraId="3DE49026" w14:textId="77777777" w:rsidR="00B749A8" w:rsidRDefault="00D87569">
      <w:p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An essential mineral, magnesium is required for over 300 reactions in the body, including blood pressure regulation, nerve functi</w:t>
      </w: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on, and cardiac conduction. In Western countries, an estimated 68% of adults consume below the recommended dietary allowance (RDA) of magnesium daily. Supplementation with magnesium may provide several cardiovascular benefits and has been shown to be effec</w:t>
      </w: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 xml:space="preserve">tive in the treatment of hypertension, pre-eclampsia, eclampsia, mitral valve </w:t>
      </w:r>
      <w:proofErr w:type="gramStart"/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prolapse</w:t>
      </w:r>
      <w:proofErr w:type="gramEnd"/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, and heart failure.</w:t>
      </w:r>
    </w:p>
    <w:p w14:paraId="047AD8CD" w14:textId="77777777" w:rsidR="00B749A8" w:rsidRDefault="00B749A8">
      <w:p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</w:p>
    <w:p w14:paraId="77DBDF86" w14:textId="77777777" w:rsidR="00B749A8" w:rsidRDefault="00D87569">
      <w:p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The list below outlines the established recommended dietary allowance (RDA) for daily intake of magnesium based on age:</w:t>
      </w:r>
    </w:p>
    <w:p w14:paraId="491B1A94" w14:textId="77777777" w:rsidR="00B749A8" w:rsidRDefault="00B749A8">
      <w:p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</w:p>
    <w:p w14:paraId="2FD78632" w14:textId="77777777" w:rsidR="00B749A8" w:rsidRDefault="00D87569">
      <w:pPr>
        <w:numPr>
          <w:ilvl w:val="0"/>
          <w:numId w:val="1"/>
        </w:num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Infants 0-6 months: 30 mg</w:t>
      </w:r>
    </w:p>
    <w:p w14:paraId="7A43EB40" w14:textId="77777777" w:rsidR="00B749A8" w:rsidRDefault="00D87569">
      <w:pPr>
        <w:numPr>
          <w:ilvl w:val="0"/>
          <w:numId w:val="1"/>
        </w:num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I</w:t>
      </w: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nfants 7-12 months: 75 mg</w:t>
      </w:r>
    </w:p>
    <w:p w14:paraId="1AA4F435" w14:textId="77777777" w:rsidR="00B749A8" w:rsidRDefault="00D87569">
      <w:pPr>
        <w:numPr>
          <w:ilvl w:val="0"/>
          <w:numId w:val="1"/>
        </w:num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Children 1-3 years: 80 mg</w:t>
      </w:r>
    </w:p>
    <w:p w14:paraId="453955C4" w14:textId="77777777" w:rsidR="00B749A8" w:rsidRDefault="00D87569">
      <w:pPr>
        <w:numPr>
          <w:ilvl w:val="0"/>
          <w:numId w:val="1"/>
        </w:num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lastRenderedPageBreak/>
        <w:t>Children 4-8 years: 130 mg</w:t>
      </w:r>
    </w:p>
    <w:p w14:paraId="439C291A" w14:textId="77777777" w:rsidR="00B749A8" w:rsidRDefault="00D87569">
      <w:pPr>
        <w:numPr>
          <w:ilvl w:val="0"/>
          <w:numId w:val="1"/>
        </w:num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Adolescents 9-13 years: 240 mg</w:t>
      </w:r>
    </w:p>
    <w:p w14:paraId="58E1AFAC" w14:textId="77777777" w:rsidR="00B749A8" w:rsidRDefault="00D87569">
      <w:pPr>
        <w:numPr>
          <w:ilvl w:val="0"/>
          <w:numId w:val="1"/>
        </w:num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Adolescents 14-18 years (male): 410 mg</w:t>
      </w:r>
    </w:p>
    <w:p w14:paraId="651D4288" w14:textId="77777777" w:rsidR="00B749A8" w:rsidRDefault="00D87569">
      <w:pPr>
        <w:numPr>
          <w:ilvl w:val="0"/>
          <w:numId w:val="1"/>
        </w:num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Adolescents 14-18 years (female): 360 mg</w:t>
      </w:r>
    </w:p>
    <w:p w14:paraId="2E8E4E93" w14:textId="77777777" w:rsidR="00B749A8" w:rsidRDefault="00D87569">
      <w:pPr>
        <w:numPr>
          <w:ilvl w:val="0"/>
          <w:numId w:val="1"/>
        </w:num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Adults 19-30 years (male): 400 mg</w:t>
      </w:r>
    </w:p>
    <w:p w14:paraId="246917D9" w14:textId="77777777" w:rsidR="00B749A8" w:rsidRDefault="00D87569">
      <w:pPr>
        <w:numPr>
          <w:ilvl w:val="0"/>
          <w:numId w:val="1"/>
        </w:num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 xml:space="preserve">Adults 19-30 years (female): 310 mg </w:t>
      </w:r>
    </w:p>
    <w:p w14:paraId="6EC4AD61" w14:textId="4F1731F0" w:rsidR="00B749A8" w:rsidRDefault="00D87569">
      <w:pPr>
        <w:numPr>
          <w:ilvl w:val="0"/>
          <w:numId w:val="1"/>
        </w:num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 xml:space="preserve">Adults </w:t>
      </w: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>31+ years (male): 420 mg</w:t>
      </w:r>
    </w:p>
    <w:p w14:paraId="0A3C625F" w14:textId="77777777" w:rsidR="00B749A8" w:rsidRDefault="00D87569">
      <w:pPr>
        <w:numPr>
          <w:ilvl w:val="0"/>
          <w:numId w:val="1"/>
        </w:numP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1"/>
          <w:szCs w:val="21"/>
          <w:highlight w:val="white"/>
        </w:rPr>
        <w:t xml:space="preserve">Adults 31+ years (female): 320 mg </w:t>
      </w:r>
    </w:p>
    <w:p w14:paraId="49967B00" w14:textId="77777777" w:rsidR="00B749A8" w:rsidRDefault="00B749A8">
      <w:pPr>
        <w:rPr>
          <w:rFonts w:ascii="Helvetica Neue" w:eastAsia="Helvetica Neue" w:hAnsi="Helvetica Neue" w:cs="Helvetica Neue"/>
          <w:color w:val="88B04B"/>
          <w:sz w:val="24"/>
          <w:szCs w:val="24"/>
          <w:highlight w:val="white"/>
        </w:rPr>
      </w:pPr>
    </w:p>
    <w:p w14:paraId="2CF99A73" w14:textId="77777777" w:rsidR="00B749A8" w:rsidRDefault="00D87569">
      <w:pP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  <w:t xml:space="preserve">Find </w:t>
      </w:r>
      <w:hyperlink r:id="rId11">
        <w:r>
          <w:rPr>
            <w:rFonts w:ascii="Helvetica Neue" w:eastAsia="Helvetica Neue" w:hAnsi="Helvetica Neue" w:cs="Helvetica Neue"/>
            <w:b/>
            <w:color w:val="1155CC"/>
            <w:sz w:val="21"/>
            <w:szCs w:val="21"/>
            <w:highlight w:val="white"/>
            <w:u w:val="single"/>
          </w:rPr>
          <w:t>magnesium-containing supplements</w:t>
        </w:r>
      </w:hyperlink>
      <w: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  <w:t xml:space="preserve"> on Fullscript</w:t>
      </w:r>
    </w:p>
    <w:p w14:paraId="7EA6F362" w14:textId="77777777" w:rsidR="00B749A8" w:rsidRDefault="00D87569">
      <w:pPr>
        <w:shd w:val="clear" w:color="auto" w:fill="FFFFFF"/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04F5E"/>
          <w:sz w:val="24"/>
          <w:szCs w:val="24"/>
          <w:highlight w:val="white"/>
        </w:rPr>
        <w:t xml:space="preserve"> </w:t>
      </w:r>
    </w:p>
    <w:p w14:paraId="65D3ECFC" w14:textId="77777777" w:rsidR="00B749A8" w:rsidRDefault="00D87569">
      <w:pP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</w:pPr>
      <w:hyperlink r:id="rId12">
        <w:r>
          <w:rPr>
            <w:rFonts w:ascii="Helvetica Neue" w:eastAsia="Helvetica Neue" w:hAnsi="Helvetica Neue" w:cs="Helvetica Neue"/>
            <w:b/>
            <w:color w:val="3597DA"/>
            <w:sz w:val="27"/>
            <w:szCs w:val="27"/>
            <w:highlight w:val="white"/>
            <w:u w:val="single"/>
          </w:rPr>
          <w:t>Log in</w:t>
        </w:r>
      </w:hyperlink>
      <w:r>
        <w:rPr>
          <w:rFonts w:ascii="Helvetica Neue" w:eastAsia="Helvetica Neue" w:hAnsi="Helvetica Neue" w:cs="Helvetica Neue"/>
          <w:b/>
          <w:color w:val="3597DA"/>
          <w:sz w:val="27"/>
          <w:szCs w:val="27"/>
          <w:highlight w:val="white"/>
          <w:u w:val="single"/>
        </w:rPr>
        <w:t xml:space="preserve"> </w:t>
      </w:r>
      <w:r>
        <w:rPr>
          <w:rFonts w:ascii="Helvetica Neue" w:eastAsia="Helvetica Neue" w:hAnsi="Helvetica Neue" w:cs="Helvetica Neue"/>
          <w:b/>
          <w:color w:val="3597DA"/>
          <w:sz w:val="27"/>
          <w:szCs w:val="27"/>
          <w:highlight w:val="white"/>
        </w:rPr>
        <w:t>to your F</w:t>
      </w:r>
      <w:r>
        <w:rPr>
          <w:rFonts w:ascii="Helvetica Neue" w:eastAsia="Helvetica Neue" w:hAnsi="Helvetica Neue" w:cs="Helvetica Neue"/>
          <w:b/>
          <w:color w:val="3597DA"/>
          <w:sz w:val="27"/>
          <w:szCs w:val="27"/>
          <w:highlight w:val="white"/>
        </w:rPr>
        <w:t>ullscript account now to explore these supplements and receive a 5% discount on your order!</w:t>
      </w:r>
    </w:p>
    <w:tbl>
      <w:tblPr>
        <w:tblStyle w:val="a1"/>
        <w:tblW w:w="9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35"/>
      </w:tblGrid>
      <w:tr w:rsidR="00B749A8" w14:paraId="4D8693F9" w14:textId="77777777"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77F74" w14:textId="77777777" w:rsidR="00B749A8" w:rsidRDefault="00B749A8">
            <w:pPr>
              <w:widowControl w:val="0"/>
              <w:rPr>
                <w:rFonts w:ascii="Helvetica Neue" w:eastAsia="Helvetica Neue" w:hAnsi="Helvetica Neue" w:cs="Helvetica Neue"/>
                <w:b/>
                <w:color w:val="404F5E"/>
                <w:sz w:val="21"/>
                <w:szCs w:val="21"/>
                <w:highlight w:val="white"/>
              </w:rPr>
            </w:pPr>
          </w:p>
          <w:tbl>
            <w:tblPr>
              <w:tblStyle w:val="a2"/>
              <w:tblW w:w="91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35"/>
            </w:tblGrid>
            <w:tr w:rsidR="00B749A8" w14:paraId="4FDEF30F" w14:textId="77777777">
              <w:tc>
                <w:tcPr>
                  <w:tcW w:w="9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213AF1" w14:textId="77777777" w:rsidR="00B749A8" w:rsidRDefault="00D87569">
                  <w:pPr>
                    <w:jc w:val="center"/>
                    <w:rPr>
                      <w:rFonts w:ascii="Helvetica Neue" w:eastAsia="Helvetica Neue" w:hAnsi="Helvetica Neue" w:cs="Helvetica Neue"/>
                      <w:b/>
                      <w:color w:val="404F5E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noProof/>
                      <w:color w:val="404F5E"/>
                      <w:sz w:val="21"/>
                      <w:szCs w:val="21"/>
                      <w:highlight w:val="white"/>
                    </w:rPr>
                    <w:drawing>
                      <wp:inline distT="114300" distB="114300" distL="114300" distR="114300" wp14:anchorId="17D88419" wp14:editId="685072D8">
                        <wp:extent cx="5943600" cy="1574800"/>
                        <wp:effectExtent l="0" t="0" r="0" b="0"/>
                        <wp:docPr id="1" name="image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jpg"/>
                                <pic:cNvPicPr preferRelativeResize="0"/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15748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71F798B" w14:textId="77777777" w:rsidR="00B749A8" w:rsidRDefault="00B749A8">
            <w:pPr>
              <w:rPr>
                <w:rFonts w:ascii="Helvetica Neue" w:eastAsia="Helvetica Neue" w:hAnsi="Helvetica Neue" w:cs="Helvetica Neue"/>
                <w:b/>
                <w:color w:val="404F5E"/>
                <w:sz w:val="21"/>
                <w:szCs w:val="21"/>
                <w:highlight w:val="white"/>
              </w:rPr>
            </w:pPr>
          </w:p>
        </w:tc>
      </w:tr>
    </w:tbl>
    <w:p w14:paraId="3EE7A66D" w14:textId="77777777" w:rsidR="00B749A8" w:rsidRDefault="00B749A8">
      <w:pPr>
        <w:rPr>
          <w:rFonts w:ascii="Helvetica Neue" w:eastAsia="Helvetica Neue" w:hAnsi="Helvetica Neue" w:cs="Helvetica Neue"/>
          <w:b/>
          <w:color w:val="404F5E"/>
          <w:sz w:val="21"/>
          <w:szCs w:val="21"/>
          <w:highlight w:val="white"/>
        </w:rPr>
      </w:pPr>
    </w:p>
    <w:p w14:paraId="57E87DCF" w14:textId="77777777" w:rsidR="00B749A8" w:rsidRDefault="00B749A8"/>
    <w:sectPr w:rsidR="00B749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F053B"/>
    <w:multiLevelType w:val="multilevel"/>
    <w:tmpl w:val="C7DCC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A8"/>
    <w:rsid w:val="00B749A8"/>
    <w:rsid w:val="00D8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97C39"/>
  <w15:docId w15:val="{3A6333D1-D805-6F4B-8764-2F744777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fullscript.com/u/catalog?s=%22VGFnLTg1OA%3D%3D%22&amp;ct_array=%22VGFnLTkxNQ%3D%3D%22&amp;ct_array=%22VGFnLTg2Mw%3D%3D%22&amp;ingredients_array=%7B%22name%22%3A%22Omega+3%22%2C%22searchAttributes%22%3A%7B%22id%22%3A%22SW5ncmVkaWVudC0zNTk%3D%22%2C%22addon%22%3A%7B%22dose%22%3A0%2C%22symbol%22%3A%22gte%22%2C%22unit%22%3Anull%7D%7D%7D&amp;onlyIngredient=true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us.fullscript.com/u/catalog?ingredients_array=%7B%22name%22%3A%22CoQ10%22%2C%22searchAttributes%22%3A%7B%22id%22%3A%22SW5ncmVkaWVudC00MjU%3D%22%2C%22addon%22%3A%7B%22dose%22%3A0%2C%22symbol%22%3A%22gte%22%2C%22unit%22%3Anull%7D%7D%7D&amp;onlyIngredient=true" TargetMode="External"/><Relationship Id="rId12" Type="http://schemas.openxmlformats.org/officeDocument/2006/relationships/hyperlink" Target="https://us.fullscript.com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us.fullscript.com/u/catalog?ingredients_array=%7B%22name%22%3A%22Magnesium%22%2C%22searchAttributes%22%3A%7B%22id%22%3A%22SW5ncmVkaWVudC0yNzk%3D%22%2C%22addon%22%3A%7B%22dose%22%3A0%2C%22symbol%22%3A%22gte%22%2C%22unit%22%3Anull%7D%7D%7D&amp;onlyIngredient=tru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us.fullscript.com/u/catalog?query=%22garlic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.fullscript.com/u/catalog?query=%22Hawthorn%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2022-01-26T16:45:00Z</dcterms:created>
  <dcterms:modified xsi:type="dcterms:W3CDTF">2022-01-26T16:46:00Z</dcterms:modified>
</cp:coreProperties>
</file>